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footer1.xml" ContentType="application/vnd.openxmlformats-officedocument.wordprocessingml.footer+xml"/>
  <Override PartName="/customXml/itemProps1.xml" ContentType="application/vnd.openxmlformats-officedocument.customXmlProperties+xml"/>
  <Override PartName="/word/numbering.xml" ContentType="application/vnd.openxmlformats-officedocument.wordprocessingml.numbering+xml"/>
  <Override PartName="/customXml/itemProps2.xml" ContentType="application/vnd.openxmlformats-officedocument.customXmlProperties+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jc w:val="center"/>
        <w:rPr>
          <w:rFonts w:ascii="方正小标宋简体" w:cs="方正小标宋简体" w:eastAsia="方正小标宋简体" w:hAnsi="方正小标宋简体" w:hint="eastAsia"/>
          <w:b/>
          <w:bCs/>
          <w:sz w:val="36"/>
          <w:szCs w:val="36"/>
        </w:rPr>
      </w:pPr>
    </w:p>
    <w:p>
      <w:pPr>
        <w:pStyle w:val="style0"/>
        <w:jc w:val="center"/>
        <w:rPr>
          <w:rFonts w:ascii="方正小标宋简体" w:cs="方正小标宋简体" w:eastAsia="方正小标宋简体" w:hAnsi="方正小标宋简体" w:hint="eastAsia"/>
          <w:b/>
          <w:bCs/>
          <w:sz w:val="36"/>
          <w:szCs w:val="36"/>
        </w:rPr>
      </w:pPr>
      <w:r>
        <w:rPr>
          <w:rFonts w:ascii="方正小标宋简体" w:cs="方正小标宋简体" w:eastAsia="方正小标宋简体" w:hAnsi="方正小标宋简体" w:hint="eastAsia"/>
          <w:b/>
          <w:bCs/>
          <w:sz w:val="36"/>
          <w:szCs w:val="36"/>
        </w:rPr>
        <w:t>206国道（宜秀段）棚户区改造项目</w:t>
      </w:r>
    </w:p>
    <w:p>
      <w:pPr>
        <w:pStyle w:val="style0"/>
        <w:jc w:val="center"/>
        <w:rPr>
          <w:rFonts w:ascii="方正小标宋简体" w:cs="方正小标宋简体" w:eastAsia="方正小标宋简体" w:hAnsi="方正小标宋简体" w:hint="eastAsia"/>
          <w:b/>
          <w:bCs/>
          <w:sz w:val="36"/>
          <w:szCs w:val="36"/>
        </w:rPr>
      </w:pPr>
      <w:r>
        <w:rPr>
          <w:rFonts w:ascii="方正小标宋简体" w:cs="方正小标宋简体" w:eastAsia="方正小标宋简体" w:hAnsi="方正小标宋简体" w:hint="eastAsia"/>
          <w:b/>
          <w:bCs/>
          <w:sz w:val="36"/>
          <w:szCs w:val="36"/>
        </w:rPr>
        <w:t>汇丰商住楼征收补偿方案</w:t>
      </w:r>
    </w:p>
    <w:p>
      <w:pPr>
        <w:pStyle w:val="style0"/>
        <w:rPr>
          <w:rFonts w:hint="eastAsia"/>
        </w:rPr>
      </w:pP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firstLine="640" w:firstLineChars="200"/>
        <w:textAlignment w:val="auto"/>
        <w:outlineLvl w:val="9"/>
        <w:rPr>
          <w:rFonts w:ascii="仿宋" w:cs="仿宋" w:eastAsia="仿宋" w:hAnsi="仿宋" w:hint="eastAsia"/>
          <w:sz w:val="32"/>
          <w:szCs w:val="32"/>
        </w:rPr>
      </w:pPr>
      <w:r>
        <w:rPr>
          <w:rFonts w:ascii="仿宋" w:cs="仿宋" w:eastAsia="仿宋" w:hAnsi="仿宋" w:hint="eastAsia"/>
          <w:sz w:val="32"/>
          <w:szCs w:val="32"/>
        </w:rPr>
        <w:t>为加快城市棚户区改造进程，落实市委、市政府的要求，提升城市品位，改善群众居住环境，促进区域经济社会又好又快发展。根据《中华人民共和国土地管理法》、《中华人民共和国城乡规划法》、国务院《国有土地上房屋征收与补偿条例》（第590号令）、住建部《国有土地房屋征收评估办法》(建设部建房[2011]77号)及《安庆市市区国有土地上房屋征收与补偿办法》（宜政发[201</w:t>
      </w:r>
      <w:r>
        <w:rPr>
          <w:rFonts w:ascii="仿宋" w:cs="仿宋" w:eastAsia="仿宋" w:hAnsi="仿宋" w:hint="eastAsia"/>
          <w:sz w:val="32"/>
          <w:szCs w:val="32"/>
          <w:lang w:val="en-US" w:eastAsia="zh-CN"/>
        </w:rPr>
        <w:t>8</w:t>
      </w:r>
      <w:r>
        <w:rPr>
          <w:rFonts w:ascii="仿宋" w:cs="仿宋" w:eastAsia="仿宋" w:hAnsi="仿宋" w:hint="eastAsia"/>
          <w:sz w:val="32"/>
          <w:szCs w:val="32"/>
        </w:rPr>
        <w:t>]1</w:t>
      </w:r>
      <w:r>
        <w:rPr>
          <w:rFonts w:ascii="仿宋" w:cs="仿宋" w:eastAsia="仿宋" w:hAnsi="仿宋" w:hint="eastAsia"/>
          <w:sz w:val="32"/>
          <w:szCs w:val="32"/>
          <w:lang w:val="en-US" w:eastAsia="zh-CN"/>
        </w:rPr>
        <w:t>5</w:t>
      </w:r>
      <w:r>
        <w:rPr>
          <w:rFonts w:ascii="仿宋" w:cs="仿宋" w:eastAsia="仿宋" w:hAnsi="仿宋" w:hint="eastAsia"/>
          <w:sz w:val="32"/>
          <w:szCs w:val="32"/>
        </w:rPr>
        <w:t>号）、《安庆市市区房屋征收房票安置办法》（宜政发）[201</w:t>
      </w:r>
      <w:r>
        <w:rPr>
          <w:rFonts w:ascii="仿宋" w:cs="仿宋" w:eastAsia="仿宋" w:hAnsi="仿宋" w:hint="eastAsia"/>
          <w:sz w:val="32"/>
          <w:szCs w:val="32"/>
          <w:lang w:val="en-US" w:eastAsia="zh-CN"/>
        </w:rPr>
        <w:t>8</w:t>
      </w:r>
      <w:r>
        <w:rPr>
          <w:rFonts w:ascii="仿宋" w:cs="仿宋" w:eastAsia="仿宋" w:hAnsi="仿宋" w:hint="eastAsia"/>
          <w:sz w:val="32"/>
          <w:szCs w:val="32"/>
        </w:rPr>
        <w:t>]</w:t>
      </w:r>
      <w:r>
        <w:rPr>
          <w:rFonts w:ascii="仿宋" w:cs="仿宋" w:eastAsia="仿宋" w:hAnsi="仿宋" w:hint="eastAsia"/>
          <w:sz w:val="32"/>
          <w:szCs w:val="32"/>
          <w:lang w:val="en-US" w:eastAsia="zh-CN"/>
        </w:rPr>
        <w:t>1</w:t>
      </w:r>
      <w:r>
        <w:rPr>
          <w:rFonts w:ascii="仿宋" w:cs="仿宋" w:eastAsia="仿宋" w:hAnsi="仿宋" w:hint="eastAsia"/>
          <w:sz w:val="32"/>
          <w:szCs w:val="32"/>
        </w:rPr>
        <w:t>号）等有关法律法规，结合实际制定本实施方案。</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firstLine="640" w:firstLineChars="200"/>
        <w:textAlignment w:val="auto"/>
        <w:outlineLvl w:val="9"/>
        <w:rPr>
          <w:rFonts w:ascii="仿宋" w:cs="仿宋" w:eastAsia="仿宋" w:hAnsi="仿宋" w:hint="eastAsia"/>
          <w:sz w:val="32"/>
          <w:szCs w:val="32"/>
        </w:rPr>
      </w:pPr>
      <w:r>
        <w:rPr>
          <w:rFonts w:ascii="仿宋" w:cs="仿宋" w:eastAsia="仿宋" w:hAnsi="仿宋" w:hint="eastAsia"/>
          <w:sz w:val="32"/>
          <w:szCs w:val="32"/>
        </w:rPr>
        <w:t>一、征收范围：206国道（宜秀段）棚户区改造项目汇丰商住楼（具体以规划征收的红线图为准。）</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firstLine="640" w:firstLineChars="200"/>
        <w:textAlignment w:val="auto"/>
        <w:outlineLvl w:val="9"/>
        <w:rPr>
          <w:rFonts w:ascii="仿宋" w:cs="仿宋" w:eastAsia="仿宋" w:hAnsi="仿宋" w:hint="eastAsia"/>
          <w:sz w:val="32"/>
          <w:szCs w:val="32"/>
          <w:lang w:val="en-US" w:eastAsia="zh-CN"/>
        </w:rPr>
      </w:pPr>
      <w:r>
        <w:rPr>
          <w:rFonts w:ascii="仿宋" w:cs="仿宋" w:eastAsia="仿宋" w:hAnsi="仿宋" w:hint="eastAsia"/>
          <w:sz w:val="32"/>
          <w:szCs w:val="32"/>
        </w:rPr>
        <w:t>二、房屋征收部门</w:t>
      </w:r>
      <w:r>
        <w:rPr>
          <w:rFonts w:ascii="仿宋" w:cs="仿宋" w:eastAsia="仿宋" w:hAnsi="仿宋" w:hint="eastAsia"/>
          <w:sz w:val="32"/>
          <w:szCs w:val="32"/>
          <w:lang w:val="en-US" w:eastAsia="zh-CN"/>
        </w:rPr>
        <w:t>:</w:t>
      </w:r>
      <w:r>
        <w:rPr>
          <w:rFonts w:ascii="仿宋" w:cs="仿宋" w:eastAsia="仿宋" w:hAnsi="仿宋" w:hint="eastAsia"/>
          <w:sz w:val="32"/>
          <w:szCs w:val="32"/>
        </w:rPr>
        <w:t>征收</w:t>
      </w:r>
      <w:r>
        <w:rPr>
          <w:rFonts w:ascii="仿宋" w:cs="仿宋" w:eastAsia="仿宋" w:hAnsi="仿宋" w:hint="eastAsia"/>
          <w:sz w:val="32"/>
          <w:szCs w:val="32"/>
          <w:lang w:val="en-US" w:eastAsia="zh-CN"/>
        </w:rPr>
        <w:t>主体为</w:t>
      </w:r>
      <w:r>
        <w:rPr>
          <w:rFonts w:ascii="仿宋" w:cs="仿宋" w:eastAsia="仿宋" w:hAnsi="仿宋" w:hint="eastAsia"/>
          <w:sz w:val="32"/>
          <w:szCs w:val="32"/>
        </w:rPr>
        <w:t>宜秀区</w:t>
      </w:r>
      <w:r>
        <w:rPr>
          <w:rFonts w:ascii="仿宋" w:cs="仿宋" w:eastAsia="仿宋" w:hAnsi="仿宋" w:hint="eastAsia"/>
          <w:sz w:val="32"/>
          <w:szCs w:val="32"/>
          <w:lang w:eastAsia="zh-CN"/>
        </w:rPr>
        <w:t>人民</w:t>
      </w:r>
      <w:r>
        <w:rPr>
          <w:rFonts w:ascii="仿宋" w:cs="仿宋" w:eastAsia="仿宋" w:hAnsi="仿宋" w:hint="eastAsia"/>
          <w:sz w:val="32"/>
          <w:szCs w:val="32"/>
        </w:rPr>
        <w:t>政府，宜秀区房地产管理</w:t>
      </w:r>
      <w:r>
        <w:rPr>
          <w:rFonts w:ascii="仿宋" w:cs="仿宋" w:eastAsia="仿宋" w:hAnsi="仿宋" w:hint="eastAsia"/>
          <w:sz w:val="32"/>
          <w:szCs w:val="32"/>
          <w:lang w:val="en-US" w:eastAsia="zh-CN"/>
        </w:rPr>
        <w:t>为征收部门</w:t>
      </w:r>
      <w:r>
        <w:rPr>
          <w:rFonts w:ascii="仿宋" w:cs="仿宋" w:eastAsia="仿宋" w:hAnsi="仿宋" w:hint="eastAsia"/>
          <w:sz w:val="32"/>
          <w:szCs w:val="32"/>
        </w:rPr>
        <w:t>，安庆北部新城建设管理</w:t>
      </w:r>
      <w:r>
        <w:rPr>
          <w:rFonts w:ascii="仿宋" w:cs="仿宋" w:eastAsia="仿宋" w:hAnsi="仿宋" w:hint="eastAsia"/>
          <w:sz w:val="32"/>
          <w:szCs w:val="32"/>
          <w:lang w:val="en-US" w:eastAsia="zh-CN"/>
        </w:rPr>
        <w:t>局为征收具体实施单位。</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firstLine="640" w:firstLineChars="200"/>
        <w:textAlignment w:val="auto"/>
        <w:outlineLvl w:val="9"/>
        <w:rPr>
          <w:rFonts w:ascii="仿宋" w:cs="仿宋" w:eastAsia="仿宋" w:hAnsi="仿宋" w:hint="eastAsia"/>
          <w:sz w:val="32"/>
          <w:szCs w:val="32"/>
        </w:rPr>
      </w:pPr>
      <w:r>
        <w:rPr>
          <w:rFonts w:ascii="仿宋" w:cs="仿宋" w:eastAsia="仿宋" w:hAnsi="仿宋" w:hint="eastAsia"/>
          <w:sz w:val="32"/>
          <w:szCs w:val="32"/>
        </w:rPr>
        <w:t>三、房屋征收时间：以宜秀区</w:t>
      </w:r>
      <w:r>
        <w:rPr>
          <w:rFonts w:ascii="仿宋" w:cs="仿宋" w:eastAsia="仿宋" w:hAnsi="仿宋" w:hint="eastAsia"/>
          <w:sz w:val="32"/>
          <w:szCs w:val="32"/>
          <w:lang w:eastAsia="zh-CN"/>
        </w:rPr>
        <w:t>人民</w:t>
      </w:r>
      <w:r>
        <w:rPr>
          <w:rFonts w:ascii="仿宋" w:cs="仿宋" w:eastAsia="仿宋" w:hAnsi="仿宋" w:hint="eastAsia"/>
          <w:sz w:val="32"/>
          <w:szCs w:val="32"/>
        </w:rPr>
        <w:t>政府《房屋征收决定》规定的时间为准</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firstLine="640" w:firstLineChars="200"/>
        <w:textAlignment w:val="auto"/>
        <w:outlineLvl w:val="9"/>
        <w:rPr>
          <w:rFonts w:ascii="仿宋" w:cs="仿宋" w:eastAsia="仿宋" w:hAnsi="仿宋" w:hint="eastAsia"/>
          <w:sz w:val="32"/>
          <w:szCs w:val="32"/>
          <w:lang w:eastAsia="zh-CN"/>
        </w:rPr>
      </w:pPr>
      <w:r>
        <w:rPr>
          <w:rFonts w:ascii="仿宋" w:cs="仿宋" w:eastAsia="仿宋" w:hAnsi="仿宋" w:hint="eastAsia"/>
          <w:sz w:val="32"/>
          <w:szCs w:val="32"/>
        </w:rPr>
        <w:t>四、征收房屋的确认及征收补偿的标准、方式</w:t>
      </w:r>
      <w:r>
        <w:rPr>
          <w:rFonts w:ascii="仿宋" w:cs="仿宋" w:eastAsia="仿宋" w:hAnsi="仿宋" w:hint="eastAsia"/>
          <w:sz w:val="32"/>
          <w:szCs w:val="32"/>
          <w:lang w:eastAsia="zh-CN"/>
        </w:rPr>
        <w:t>。</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firstLine="640" w:firstLineChars="200"/>
        <w:textAlignment w:val="auto"/>
        <w:outlineLvl w:val="9"/>
        <w:rPr>
          <w:rFonts w:ascii="仿宋" w:cs="仿宋" w:eastAsia="仿宋" w:hAnsi="仿宋" w:hint="eastAsia"/>
          <w:sz w:val="32"/>
          <w:szCs w:val="32"/>
        </w:rPr>
      </w:pPr>
      <w:r>
        <w:rPr>
          <w:rFonts w:ascii="仿宋" w:cs="仿宋" w:eastAsia="仿宋" w:hAnsi="仿宋" w:hint="eastAsia"/>
          <w:sz w:val="32"/>
          <w:szCs w:val="32"/>
        </w:rPr>
        <w:t>（一）国有土地住宅房屋征收补偿方式</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firstLine="640" w:firstLineChars="200"/>
        <w:textAlignment w:val="auto"/>
        <w:outlineLvl w:val="9"/>
        <w:rPr>
          <w:rFonts w:ascii="仿宋" w:cs="仿宋" w:eastAsia="仿宋" w:hAnsi="仿宋" w:hint="eastAsia"/>
          <w:sz w:val="32"/>
          <w:szCs w:val="32"/>
        </w:rPr>
      </w:pPr>
      <w:r>
        <w:rPr>
          <w:rFonts w:ascii="仿宋" w:cs="仿宋" w:eastAsia="仿宋" w:hAnsi="仿宋" w:hint="eastAsia"/>
          <w:sz w:val="32"/>
          <w:szCs w:val="32"/>
        </w:rPr>
        <w:t>1、房屋征收部门根据被征收人提供的合法有效文书所确认的房屋权属、用途、面积，对被征收人予以补偿。房屋无有效证照，但在1990年4月1日《中华人民共和国城市规划法》施行前已建成的房屋，由被征收人提供法定部门认可的原始证明材料，可按认定的房屋性质、用途和面积给予补偿。</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firstLine="640" w:firstLineChars="200"/>
        <w:textAlignment w:val="auto"/>
        <w:outlineLvl w:val="9"/>
        <w:rPr>
          <w:rFonts w:ascii="仿宋" w:cs="仿宋" w:eastAsia="仿宋" w:hAnsi="仿宋" w:hint="eastAsia"/>
          <w:sz w:val="32"/>
          <w:szCs w:val="32"/>
        </w:rPr>
      </w:pPr>
      <w:r>
        <w:rPr>
          <w:rFonts w:ascii="仿宋" w:cs="仿宋" w:eastAsia="仿宋" w:hAnsi="仿宋" w:hint="eastAsia"/>
          <w:sz w:val="32"/>
          <w:szCs w:val="32"/>
        </w:rPr>
        <w:t>2、房屋计户原则：以房屋所有权证或合法文书为单位计户</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firstLine="640" w:firstLineChars="200"/>
        <w:textAlignment w:val="auto"/>
        <w:outlineLvl w:val="9"/>
        <w:rPr>
          <w:rFonts w:ascii="仿宋" w:cs="仿宋" w:eastAsia="仿宋" w:hAnsi="仿宋" w:hint="eastAsia"/>
          <w:sz w:val="32"/>
          <w:szCs w:val="32"/>
        </w:rPr>
      </w:pPr>
      <w:r>
        <w:rPr>
          <w:rFonts w:ascii="仿宋" w:cs="仿宋" w:eastAsia="仿宋" w:hAnsi="仿宋" w:hint="eastAsia"/>
          <w:sz w:val="32"/>
          <w:szCs w:val="32"/>
        </w:rPr>
        <w:t>3、征收有产权纠纷的房屋，由有关当事人自行协商解决或通过司法途径处理。在征收期限内纠纷仍未解决的，由相关部门、征收实施单位和有关当事人对被征收房屋现状作出记录，形成书面材料存档后实施征收。被征收房屋有租赁关系的由产权人在规定时间内自行解决。</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firstLine="640" w:firstLineChars="200"/>
        <w:textAlignment w:val="auto"/>
        <w:outlineLvl w:val="9"/>
        <w:rPr>
          <w:rFonts w:ascii="仿宋" w:cs="仿宋" w:eastAsia="仿宋" w:hAnsi="仿宋" w:hint="eastAsia"/>
          <w:sz w:val="32"/>
          <w:szCs w:val="32"/>
        </w:rPr>
      </w:pPr>
      <w:r>
        <w:rPr>
          <w:rFonts w:ascii="仿宋" w:cs="仿宋" w:eastAsia="仿宋" w:hAnsi="仿宋" w:hint="eastAsia"/>
          <w:sz w:val="32"/>
          <w:szCs w:val="32"/>
        </w:rPr>
        <w:t>4、国有住宅房屋征收补偿</w:t>
      </w:r>
      <w:r>
        <w:rPr>
          <w:rFonts w:ascii="仿宋" w:cs="仿宋" w:eastAsia="仿宋" w:hAnsi="仿宋" w:hint="eastAsia"/>
          <w:sz w:val="32"/>
          <w:szCs w:val="32"/>
          <w:lang w:val="en-US" w:eastAsia="zh-CN"/>
        </w:rPr>
        <w:t>安置</w:t>
      </w:r>
      <w:r>
        <w:rPr>
          <w:rFonts w:ascii="仿宋" w:cs="仿宋" w:eastAsia="仿宋" w:hAnsi="仿宋" w:hint="eastAsia"/>
          <w:sz w:val="32"/>
          <w:szCs w:val="32"/>
        </w:rPr>
        <w:t>方式</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firstLine="640" w:firstLineChars="200"/>
        <w:textAlignment w:val="auto"/>
        <w:outlineLvl w:val="9"/>
        <w:rPr>
          <w:rFonts w:ascii="仿宋" w:cs="仿宋" w:eastAsia="仿宋" w:hAnsi="仿宋" w:hint="eastAsia"/>
          <w:sz w:val="32"/>
          <w:szCs w:val="32"/>
        </w:rPr>
      </w:pPr>
      <w:r>
        <w:rPr>
          <w:rFonts w:ascii="仿宋" w:cs="仿宋" w:eastAsia="仿宋" w:hAnsi="仿宋" w:hint="eastAsia"/>
          <w:sz w:val="32"/>
          <w:szCs w:val="32"/>
        </w:rPr>
        <w:t>征收补偿实行以货币</w:t>
      </w:r>
      <w:r>
        <w:rPr>
          <w:rFonts w:ascii="仿宋" w:cs="仿宋" w:eastAsia="仿宋" w:hAnsi="仿宋" w:hint="eastAsia"/>
          <w:sz w:val="32"/>
          <w:szCs w:val="32"/>
          <w:lang w:eastAsia="zh-CN"/>
        </w:rPr>
        <w:t>补偿、房票安置和集中安置三种补偿安置方式，</w:t>
      </w:r>
      <w:r>
        <w:rPr>
          <w:rFonts w:ascii="仿宋" w:cs="仿宋" w:eastAsia="仿宋" w:hAnsi="仿宋" w:hint="eastAsia"/>
          <w:sz w:val="32"/>
          <w:szCs w:val="32"/>
        </w:rPr>
        <w:t>由被征收人自主选择。实行</w:t>
      </w:r>
      <w:r>
        <w:rPr>
          <w:rFonts w:ascii="仿宋" w:cs="仿宋" w:eastAsia="仿宋" w:hAnsi="仿宋" w:hint="eastAsia"/>
          <w:sz w:val="32"/>
          <w:szCs w:val="32"/>
          <w:lang w:eastAsia="zh-CN"/>
        </w:rPr>
        <w:t>房票安置</w:t>
      </w:r>
      <w:r>
        <w:rPr>
          <w:rFonts w:ascii="仿宋" w:cs="仿宋" w:eastAsia="仿宋" w:hAnsi="仿宋" w:hint="eastAsia"/>
          <w:sz w:val="32"/>
          <w:szCs w:val="32"/>
        </w:rPr>
        <w:t>的，按市政府房票相关规定执行；</w:t>
      </w:r>
      <w:r>
        <w:rPr>
          <w:rFonts w:ascii="仿宋" w:cs="仿宋" w:eastAsia="仿宋" w:hAnsi="仿宋" w:hint="eastAsia"/>
          <w:sz w:val="32"/>
          <w:szCs w:val="32"/>
          <w:lang w:eastAsia="zh-CN"/>
        </w:rPr>
        <w:t>实行集中安置的，安置地点位于宜秀区龙城天悦小区；</w:t>
      </w:r>
      <w:r>
        <w:rPr>
          <w:rFonts w:ascii="仿宋" w:cs="仿宋" w:eastAsia="仿宋" w:hAnsi="仿宋" w:hint="eastAsia"/>
          <w:sz w:val="32"/>
          <w:szCs w:val="32"/>
        </w:rPr>
        <w:t>实行货币</w:t>
      </w:r>
      <w:r>
        <w:rPr>
          <w:rFonts w:ascii="仿宋" w:cs="仿宋" w:eastAsia="仿宋" w:hAnsi="仿宋" w:hint="eastAsia"/>
          <w:sz w:val="32"/>
          <w:szCs w:val="32"/>
          <w:lang w:eastAsia="zh-CN"/>
        </w:rPr>
        <w:t>补偿</w:t>
      </w:r>
      <w:r>
        <w:rPr>
          <w:rFonts w:ascii="仿宋" w:cs="仿宋" w:eastAsia="仿宋" w:hAnsi="仿宋" w:hint="eastAsia"/>
          <w:sz w:val="32"/>
          <w:szCs w:val="32"/>
        </w:rPr>
        <w:t>的，由房地产价格评估机构以征收决定公告之日为评估时点，按照货币安置基准价，结合被征收房屋结构、成新、层次、配套、市场变化情况等因素修正计算。房地产价格评估机构应当根据调查登记情况实行一户一评估，出具分户评估报告。</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firstLine="640" w:firstLineChars="200"/>
        <w:textAlignment w:val="auto"/>
        <w:outlineLvl w:val="9"/>
        <w:rPr>
          <w:rFonts w:ascii="仿宋" w:cs="仿宋" w:eastAsia="仿宋" w:hAnsi="仿宋" w:hint="eastAsia"/>
          <w:sz w:val="32"/>
          <w:szCs w:val="32"/>
          <w:lang w:val="en-US" w:eastAsia="zh-CN"/>
        </w:rPr>
      </w:pPr>
      <w:r>
        <w:rPr>
          <w:rFonts w:ascii="仿宋" w:cs="仿宋" w:eastAsia="仿宋" w:hAnsi="仿宋" w:hint="eastAsia"/>
          <w:sz w:val="32"/>
          <w:szCs w:val="32"/>
          <w:lang w:eastAsia="zh-CN"/>
        </w:rPr>
        <w:t>本次汇丰商住楼住宅房屋货币补偿基准价为</w:t>
      </w:r>
      <w:r>
        <w:rPr>
          <w:rFonts w:ascii="仿宋" w:cs="仿宋" w:eastAsia="仿宋" w:hAnsi="仿宋" w:hint="eastAsia"/>
          <w:sz w:val="32"/>
          <w:szCs w:val="32"/>
          <w:lang w:val="en-US" w:eastAsia="zh-CN"/>
        </w:rPr>
        <w:t>5934元/</w:t>
      </w:r>
      <w:r>
        <w:rPr>
          <w:rFonts w:ascii="宋体" w:cs="宋体" w:eastAsia="宋体" w:hAnsi="宋体" w:hint="eastAsia"/>
          <w:sz w:val="32"/>
          <w:szCs w:val="32"/>
          <w:lang w:val="en-US" w:eastAsia="zh-CN"/>
        </w:rPr>
        <w:t>㎡。</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firstLine="640" w:firstLineChars="200"/>
        <w:textAlignment w:val="auto"/>
        <w:outlineLvl w:val="9"/>
        <w:rPr>
          <w:rFonts w:ascii="仿宋" w:cs="仿宋" w:eastAsia="仿宋" w:hAnsi="仿宋" w:hint="eastAsia"/>
          <w:sz w:val="32"/>
          <w:szCs w:val="32"/>
          <w:lang w:eastAsia="zh-CN"/>
        </w:rPr>
      </w:pPr>
      <w:r>
        <w:rPr>
          <w:rFonts w:ascii="仿宋" w:cs="仿宋" w:eastAsia="仿宋" w:hAnsi="仿宋" w:hint="eastAsia"/>
          <w:sz w:val="32"/>
          <w:szCs w:val="32"/>
        </w:rPr>
        <w:t>5、临时安置补助和搬迁补偿费</w:t>
      </w:r>
      <w:r>
        <w:rPr>
          <w:rFonts w:ascii="仿宋" w:cs="仿宋" w:eastAsia="仿宋" w:hAnsi="仿宋" w:hint="eastAsia"/>
          <w:sz w:val="32"/>
          <w:szCs w:val="32"/>
          <w:lang w:eastAsia="zh-CN"/>
        </w:rPr>
        <w:t>发放</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firstLine="640" w:firstLineChars="200"/>
        <w:textAlignment w:val="auto"/>
        <w:outlineLvl w:val="9"/>
        <w:rPr>
          <w:rFonts w:ascii="仿宋" w:cs="仿宋" w:eastAsia="仿宋" w:hAnsi="仿宋" w:hint="eastAsia"/>
          <w:sz w:val="32"/>
          <w:szCs w:val="32"/>
          <w:lang w:val="en-US" w:eastAsia="zh-CN"/>
        </w:rPr>
      </w:pPr>
      <w:r>
        <w:rPr>
          <w:rFonts w:ascii="仿宋" w:cs="仿宋" w:eastAsia="仿宋" w:hAnsi="仿宋" w:hint="eastAsia"/>
          <w:sz w:val="32"/>
          <w:szCs w:val="32"/>
          <w:lang w:eastAsia="zh-CN"/>
        </w:rPr>
        <w:t>临时安置过渡费不计入房票金额，由征收人另行支付，临时安置过渡费按标准发放，房票安置计发</w:t>
      </w:r>
      <w:r>
        <w:rPr>
          <w:rFonts w:ascii="仿宋" w:cs="仿宋" w:eastAsia="仿宋" w:hAnsi="仿宋" w:hint="eastAsia"/>
          <w:sz w:val="32"/>
          <w:szCs w:val="32"/>
          <w:lang w:val="en-US" w:eastAsia="zh-CN"/>
        </w:rPr>
        <w:t>18个月，货币安置计发6个月，现房安置的按还房之日后延期计发4个月。</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firstLine="640" w:firstLineChars="200"/>
        <w:textAlignment w:val="auto"/>
        <w:outlineLvl w:val="9"/>
        <w:rPr>
          <w:rFonts w:ascii="仿宋" w:cs="仿宋" w:eastAsia="仿宋" w:hAnsi="仿宋" w:hint="eastAsia"/>
          <w:sz w:val="32"/>
          <w:szCs w:val="32"/>
        </w:rPr>
      </w:pPr>
      <w:r>
        <w:rPr>
          <w:rFonts w:ascii="仿宋" w:cs="仿宋" w:eastAsia="仿宋" w:hAnsi="仿宋" w:hint="eastAsia"/>
          <w:sz w:val="32"/>
          <w:szCs w:val="32"/>
        </w:rPr>
        <w:t>（二）国有土地非住宅房屋的征收补偿方式</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firstLine="640" w:firstLineChars="200"/>
        <w:textAlignment w:val="auto"/>
        <w:outlineLvl w:val="9"/>
        <w:rPr>
          <w:rFonts w:ascii="仿宋" w:cs="仿宋" w:eastAsia="仿宋" w:hAnsi="仿宋" w:hint="eastAsia"/>
          <w:sz w:val="32"/>
          <w:szCs w:val="32"/>
          <w:lang w:val="en-US" w:eastAsia="zh-CN"/>
        </w:rPr>
      </w:pPr>
      <w:r>
        <w:rPr>
          <w:rFonts w:ascii="仿宋" w:cs="仿宋" w:eastAsia="仿宋" w:hAnsi="仿宋" w:hint="eastAsia"/>
          <w:sz w:val="32"/>
          <w:szCs w:val="32"/>
        </w:rPr>
        <w:t>营业用房（证照齐全的）等非住宅房屋，</w:t>
      </w:r>
      <w:r>
        <w:rPr>
          <w:rFonts w:ascii="仿宋" w:cs="仿宋" w:eastAsia="仿宋" w:hAnsi="仿宋" w:hint="eastAsia"/>
          <w:sz w:val="32"/>
          <w:szCs w:val="32"/>
          <w:lang w:eastAsia="zh-CN"/>
        </w:rPr>
        <w:t>根据被拆迁人提供的产权证及合法有效证件确认其房屋用途和面积。</w:t>
      </w:r>
      <w:r>
        <w:rPr>
          <w:rFonts w:ascii="仿宋" w:cs="仿宋" w:eastAsia="仿宋" w:hAnsi="仿宋" w:hint="eastAsia"/>
          <w:sz w:val="32"/>
          <w:szCs w:val="32"/>
        </w:rPr>
        <w:t>按房地产评估机构评估价格实行货币补偿。</w:t>
      </w:r>
      <w:bookmarkStart w:id="0" w:name="_GoBack"/>
      <w:bookmarkEnd w:id="0"/>
      <w:r>
        <w:rPr>
          <w:rFonts w:ascii="仿宋" w:cs="仿宋" w:eastAsia="仿宋" w:hAnsi="仿宋" w:hint="eastAsia"/>
          <w:sz w:val="32"/>
          <w:szCs w:val="32"/>
          <w:lang w:val="en-US" w:eastAsia="zh-CN"/>
        </w:rPr>
        <w:t xml:space="preserve">  </w:t>
      </w:r>
    </w:p>
    <w:p>
      <w:pPr>
        <w:pStyle w:val="style0"/>
        <w:keepNext w:val="false"/>
        <w:keepLines w:val="false"/>
        <w:pageBreakBefore w:val="false"/>
        <w:widowControl w:val="false"/>
        <w:kinsoku/>
        <w:wordWrap/>
        <w:overflowPunct/>
        <w:topLinePunct w:val="false"/>
        <w:autoSpaceDE/>
        <w:autoSpaceDN/>
        <w:bidi w:val="false"/>
        <w:adjustRightInd/>
        <w:snapToGrid/>
        <w:spacing w:lineRule="auto" w:line="240"/>
        <w:ind w:firstLine="640" w:firstLineChars="200"/>
        <w:textAlignment w:val="auto"/>
        <w:outlineLvl w:val="9"/>
        <w:rPr>
          <w:rFonts w:ascii="仿宋" w:cs="仿宋" w:eastAsia="仿宋" w:hAnsi="仿宋" w:hint="eastAsia"/>
          <w:sz w:val="32"/>
          <w:szCs w:val="32"/>
          <w:lang w:val="en-US" w:eastAsia="zh-CN"/>
        </w:rPr>
      </w:pPr>
      <w:r>
        <w:rPr>
          <w:rFonts w:ascii="仿宋" w:cs="仿宋" w:eastAsia="仿宋" w:hAnsi="仿宋" w:hint="eastAsia"/>
          <w:sz w:val="32"/>
          <w:szCs w:val="32"/>
          <w:lang w:eastAsia="zh-CN"/>
        </w:rPr>
        <w:t>本次汇丰商住楼非住宅货币补偿标准价为</w:t>
      </w:r>
      <w:r>
        <w:rPr>
          <w:rFonts w:ascii="仿宋" w:cs="仿宋" w:eastAsia="仿宋" w:hAnsi="仿宋" w:hint="eastAsia"/>
          <w:sz w:val="32"/>
          <w:szCs w:val="32"/>
          <w:lang w:val="en-US" w:eastAsia="zh-CN"/>
        </w:rPr>
        <w:t>17540元/</w:t>
      </w:r>
      <w:r>
        <w:rPr>
          <w:rFonts w:ascii="宋体" w:cs="宋体" w:eastAsia="宋体" w:hAnsi="宋体" w:hint="eastAsia"/>
          <w:sz w:val="32"/>
          <w:szCs w:val="32"/>
          <w:lang w:val="en-US" w:eastAsia="zh-CN"/>
        </w:rPr>
        <w:t>㎡</w:t>
      </w:r>
      <w:r>
        <w:rPr>
          <w:rFonts w:ascii="仿宋" w:cs="仿宋" w:eastAsia="仿宋" w:hAnsi="仿宋" w:hint="eastAsia"/>
          <w:sz w:val="32"/>
          <w:szCs w:val="32"/>
          <w:lang w:val="en-US" w:eastAsia="zh-CN"/>
        </w:rPr>
        <w:t>。</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firstLine="640" w:firstLineChars="200"/>
        <w:textAlignment w:val="auto"/>
        <w:outlineLvl w:val="9"/>
        <w:rPr>
          <w:rFonts w:ascii="仿宋" w:cs="仿宋" w:eastAsia="仿宋" w:hAnsi="仿宋" w:hint="eastAsia"/>
          <w:sz w:val="32"/>
          <w:szCs w:val="32"/>
        </w:rPr>
      </w:pPr>
      <w:r>
        <w:rPr>
          <w:rFonts w:ascii="仿宋" w:cs="仿宋" w:eastAsia="仿宋" w:hAnsi="仿宋" w:hint="eastAsia"/>
          <w:sz w:val="32"/>
          <w:szCs w:val="32"/>
        </w:rPr>
        <w:t>（三）征收房屋附属物和装潢补偿以房地产评估机构评估确定，纳入房票安置金额。</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firstLine="640" w:firstLineChars="200"/>
        <w:textAlignment w:val="auto"/>
        <w:outlineLvl w:val="9"/>
        <w:rPr>
          <w:rFonts w:ascii="仿宋" w:cs="仿宋" w:eastAsia="仿宋" w:hAnsi="仿宋" w:hint="eastAsia"/>
          <w:sz w:val="32"/>
          <w:szCs w:val="32"/>
        </w:rPr>
      </w:pPr>
      <w:r>
        <w:rPr>
          <w:rFonts w:ascii="仿宋" w:cs="仿宋" w:eastAsia="仿宋" w:hAnsi="仿宋" w:hint="eastAsia"/>
          <w:sz w:val="32"/>
          <w:szCs w:val="32"/>
          <w:lang w:val="en-US" w:eastAsia="zh-CN"/>
        </w:rPr>
        <w:t>五</w:t>
      </w:r>
      <w:r>
        <w:rPr>
          <w:rFonts w:ascii="仿宋" w:cs="仿宋" w:eastAsia="仿宋" w:hAnsi="仿宋" w:hint="eastAsia"/>
          <w:sz w:val="32"/>
          <w:szCs w:val="32"/>
        </w:rPr>
        <w:t>、被征收人未经规划、国土部门批准，改变房屋用途的，按照原房地产权证，土地使用权证确定的房屋用途予以补偿。</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firstLine="640" w:firstLineChars="200"/>
        <w:textAlignment w:val="auto"/>
        <w:outlineLvl w:val="9"/>
        <w:rPr>
          <w:rFonts w:ascii="仿宋" w:cs="仿宋" w:eastAsia="仿宋" w:hAnsi="仿宋" w:hint="eastAsia"/>
          <w:sz w:val="32"/>
          <w:szCs w:val="32"/>
        </w:rPr>
      </w:pPr>
      <w:r>
        <w:rPr>
          <w:rFonts w:ascii="仿宋" w:cs="仿宋" w:eastAsia="仿宋" w:hAnsi="仿宋" w:hint="eastAsia"/>
          <w:sz w:val="32"/>
          <w:szCs w:val="32"/>
          <w:lang w:val="en-US" w:eastAsia="zh-CN"/>
        </w:rPr>
        <w:t>六</w:t>
      </w:r>
      <w:r>
        <w:rPr>
          <w:rFonts w:ascii="仿宋" w:cs="仿宋" w:eastAsia="仿宋" w:hAnsi="仿宋" w:hint="eastAsia"/>
          <w:sz w:val="32"/>
          <w:szCs w:val="32"/>
        </w:rPr>
        <w:t>、征收部门和被征收人签订《征收补偿协议》后，被征收人应当在协议约定的时间内，交出被征收房屋的房屋所有权证、土地使用权证等产权证件，并结清水、电等有关费用，腾空房屋交付拆除，方可领取搬迁证。被征收房屋及附属物在被征收人搬迁验收前，须保持已列入补偿范围的建筑物及附属物的完好，不得擅自拆除建筑物、构筑物及相关设施。擅自拆除的，由被征收人承担一切安全责任、经济责任和法律责任。</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firstLine="640" w:firstLineChars="200"/>
        <w:textAlignment w:val="auto"/>
        <w:outlineLvl w:val="9"/>
        <w:rPr>
          <w:rFonts w:ascii="仿宋" w:cs="仿宋" w:eastAsia="仿宋" w:hAnsi="仿宋" w:hint="eastAsia"/>
          <w:sz w:val="32"/>
          <w:szCs w:val="32"/>
        </w:rPr>
      </w:pPr>
      <w:r>
        <w:rPr>
          <w:rFonts w:ascii="仿宋" w:cs="仿宋" w:eastAsia="仿宋" w:hAnsi="仿宋" w:hint="eastAsia"/>
          <w:sz w:val="32"/>
          <w:szCs w:val="32"/>
          <w:lang w:val="en-US" w:eastAsia="zh-CN"/>
        </w:rPr>
        <w:t>七</w:t>
      </w:r>
      <w:r>
        <w:rPr>
          <w:rFonts w:ascii="仿宋" w:cs="仿宋" w:eastAsia="仿宋" w:hAnsi="仿宋" w:hint="eastAsia"/>
          <w:sz w:val="32"/>
          <w:szCs w:val="32"/>
        </w:rPr>
        <w:t>、房屋征收部门与被征收人在征收补偿方案确定的签约期限内达不成补偿协议，或者被征收房屋所有权人不明确的，由房屋征收部门报请区人民政府依照本办法规定，按照征收补偿方案作出补偿决定，并在房屋征收范围内予以公告。</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firstLine="640" w:firstLineChars="200"/>
        <w:textAlignment w:val="auto"/>
        <w:outlineLvl w:val="9"/>
        <w:rPr>
          <w:rFonts w:ascii="仿宋" w:cs="仿宋" w:eastAsia="仿宋" w:hAnsi="仿宋" w:hint="eastAsia"/>
          <w:sz w:val="32"/>
          <w:szCs w:val="32"/>
        </w:rPr>
      </w:pPr>
      <w:r>
        <w:rPr>
          <w:rFonts w:ascii="仿宋" w:cs="仿宋" w:eastAsia="仿宋" w:hAnsi="仿宋" w:hint="eastAsia"/>
          <w:sz w:val="32"/>
          <w:szCs w:val="32"/>
          <w:lang w:val="en-US" w:eastAsia="zh-CN"/>
        </w:rPr>
        <w:t>八</w:t>
      </w:r>
      <w:r>
        <w:rPr>
          <w:rFonts w:ascii="仿宋" w:cs="仿宋" w:eastAsia="仿宋" w:hAnsi="仿宋" w:hint="eastAsia"/>
          <w:sz w:val="32"/>
          <w:szCs w:val="32"/>
        </w:rPr>
        <w:t>、被征收人对补偿决定不服的，可以依法申请行政复议，也可以依法提起行政诉讼。被征收人在法定期限内不申请行政复议或者不提起行政诉讼，在补偿决定规定的期限内又不搬迁的，由作出房屋征收决定的区人民政府依法申请人民法院强制执行。</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firstLine="640" w:firstLineChars="200"/>
        <w:textAlignment w:val="auto"/>
        <w:outlineLvl w:val="9"/>
        <w:rPr>
          <w:rFonts w:ascii="仿宋" w:cs="仿宋" w:eastAsia="仿宋" w:hAnsi="仿宋" w:hint="eastAsia"/>
          <w:sz w:val="32"/>
          <w:szCs w:val="32"/>
        </w:rPr>
      </w:pPr>
      <w:r>
        <w:rPr>
          <w:rFonts w:ascii="仿宋" w:cs="仿宋" w:eastAsia="仿宋" w:hAnsi="仿宋" w:hint="eastAsia"/>
          <w:sz w:val="32"/>
          <w:szCs w:val="32"/>
          <w:lang w:val="en-US" w:eastAsia="zh-CN"/>
        </w:rPr>
        <w:t>九</w:t>
      </w:r>
      <w:r>
        <w:rPr>
          <w:rFonts w:ascii="仿宋" w:cs="仿宋" w:eastAsia="仿宋" w:hAnsi="仿宋" w:hint="eastAsia"/>
          <w:sz w:val="32"/>
          <w:szCs w:val="32"/>
        </w:rPr>
        <w:t>、对设有抵押的房屋，由抵押权人和抵押人协商，征迁实施单位按本征收补偿方案执行，原则上实行货币化补偿。</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firstLine="640" w:firstLineChars="200"/>
        <w:textAlignment w:val="auto"/>
        <w:outlineLvl w:val="9"/>
        <w:rPr>
          <w:rFonts w:ascii="仿宋" w:cs="仿宋" w:eastAsia="仿宋" w:hAnsi="仿宋" w:hint="eastAsia"/>
          <w:sz w:val="32"/>
          <w:szCs w:val="32"/>
        </w:rPr>
      </w:pPr>
      <w:r>
        <w:rPr>
          <w:rFonts w:ascii="仿宋" w:cs="仿宋" w:eastAsia="仿宋" w:hAnsi="仿宋" w:hint="eastAsia"/>
          <w:sz w:val="32"/>
          <w:szCs w:val="32"/>
        </w:rPr>
        <w:t>十、奖励政策</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firstLine="640" w:firstLineChars="200"/>
        <w:textAlignment w:val="auto"/>
        <w:outlineLvl w:val="9"/>
        <w:rPr>
          <w:rFonts w:ascii="仿宋" w:cs="仿宋" w:eastAsia="仿宋" w:hAnsi="仿宋" w:hint="eastAsia"/>
          <w:sz w:val="32"/>
          <w:szCs w:val="32"/>
        </w:rPr>
      </w:pPr>
      <w:r>
        <w:rPr>
          <w:rFonts w:ascii="仿宋" w:cs="仿宋" w:eastAsia="仿宋" w:hAnsi="仿宋" w:hint="eastAsia"/>
          <w:sz w:val="32"/>
          <w:szCs w:val="32"/>
        </w:rPr>
        <w:t>在征收决定公告规定的征收期限内签订征收协议并搬迁交房的，经征收部门验收后凭搬迁证给予奖励，奖励标准：征收决定规定启征之日起</w:t>
      </w:r>
      <w:r>
        <w:rPr>
          <w:rFonts w:ascii="仿宋" w:cs="仿宋" w:eastAsia="仿宋" w:hAnsi="仿宋" w:hint="eastAsia"/>
          <w:sz w:val="32"/>
          <w:szCs w:val="32"/>
          <w:lang w:val="en-US" w:eastAsia="zh-CN"/>
        </w:rPr>
        <w:t>5</w:t>
      </w:r>
      <w:r>
        <w:rPr>
          <w:rFonts w:ascii="仿宋" w:cs="仿宋" w:eastAsia="仿宋" w:hAnsi="仿宋" w:hint="eastAsia"/>
          <w:sz w:val="32"/>
          <w:szCs w:val="32"/>
        </w:rPr>
        <w:t>日内签订协议并搬迁交房的，每户奖励10000元，1</w:t>
      </w:r>
      <w:r>
        <w:rPr>
          <w:rFonts w:ascii="仿宋" w:cs="仿宋" w:eastAsia="仿宋" w:hAnsi="仿宋" w:hint="eastAsia"/>
          <w:sz w:val="32"/>
          <w:szCs w:val="32"/>
          <w:lang w:val="en-US" w:eastAsia="zh-CN"/>
        </w:rPr>
        <w:t>0</w:t>
      </w:r>
      <w:r>
        <w:rPr>
          <w:rFonts w:ascii="仿宋" w:cs="仿宋" w:eastAsia="仿宋" w:hAnsi="仿宋" w:hint="eastAsia"/>
          <w:sz w:val="32"/>
          <w:szCs w:val="32"/>
        </w:rPr>
        <w:t>日之内签订协议并搬迁交房的，每户奖励5000元。超过上述期限，不予奖励。</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firstLine="640" w:firstLineChars="200"/>
        <w:textAlignment w:val="auto"/>
        <w:outlineLvl w:val="9"/>
        <w:rPr>
          <w:rFonts w:ascii="仿宋" w:cs="仿宋" w:eastAsia="仿宋" w:hAnsi="仿宋" w:hint="eastAsia"/>
          <w:sz w:val="32"/>
          <w:szCs w:val="32"/>
        </w:rPr>
      </w:pPr>
      <w:r>
        <w:rPr>
          <w:rFonts w:ascii="仿宋" w:cs="仿宋" w:eastAsia="仿宋" w:hAnsi="仿宋" w:hint="eastAsia"/>
          <w:sz w:val="32"/>
          <w:szCs w:val="32"/>
        </w:rPr>
        <w:t>十</w:t>
      </w:r>
      <w:r>
        <w:rPr>
          <w:rFonts w:ascii="仿宋" w:cs="仿宋" w:eastAsia="仿宋" w:hAnsi="仿宋" w:hint="eastAsia"/>
          <w:sz w:val="32"/>
          <w:szCs w:val="32"/>
          <w:lang w:val="en-US" w:eastAsia="zh-CN"/>
        </w:rPr>
        <w:t>一</w:t>
      </w:r>
      <w:r>
        <w:rPr>
          <w:rFonts w:ascii="仿宋" w:cs="仿宋" w:eastAsia="仿宋" w:hAnsi="仿宋" w:hint="eastAsia"/>
          <w:sz w:val="32"/>
          <w:szCs w:val="32"/>
        </w:rPr>
        <w:t>、本征收补偿实施方案只适用于本次征收范围，由</w:t>
      </w:r>
      <w:r>
        <w:rPr>
          <w:rFonts w:ascii="仿宋" w:cs="仿宋" w:eastAsia="仿宋" w:hAnsi="仿宋" w:hint="eastAsia"/>
          <w:sz w:val="32"/>
          <w:szCs w:val="32"/>
          <w:lang w:eastAsia="zh-CN"/>
        </w:rPr>
        <w:t>宜秀区房地产管理局</w:t>
      </w:r>
      <w:r>
        <w:rPr>
          <w:rFonts w:ascii="仿宋" w:cs="仿宋" w:eastAsia="仿宋" w:hAnsi="仿宋" w:hint="eastAsia"/>
          <w:sz w:val="32"/>
          <w:szCs w:val="32"/>
        </w:rPr>
        <w:t>负责解释。</w:t>
      </w:r>
    </w:p>
    <w:p>
      <w:pPr>
        <w:pStyle w:val="style0"/>
        <w:keepNext w:val="false"/>
        <w:keepLines w:val="false"/>
        <w:pageBreakBefore w:val="false"/>
        <w:widowControl w:val="false"/>
        <w:kinsoku/>
        <w:wordWrap/>
        <w:overflowPunct/>
        <w:topLinePunct w:val="false"/>
        <w:autoSpaceDE/>
        <w:autoSpaceDN/>
        <w:bidi w:val="false"/>
        <w:adjustRightInd/>
        <w:snapToGrid/>
        <w:ind w:firstLine="640" w:firstLineChars="200"/>
        <w:textAlignment w:val="auto"/>
        <w:outlineLvl w:val="9"/>
        <w:rPr>
          <w:rFonts w:ascii="仿宋" w:cs="仿宋" w:eastAsia="仿宋" w:hAnsi="仿宋" w:hint="eastAsia"/>
          <w:sz w:val="32"/>
          <w:szCs w:val="32"/>
        </w:rPr>
      </w:pPr>
    </w:p>
    <w:p>
      <w:pPr>
        <w:pStyle w:val="style0"/>
        <w:keepNext w:val="false"/>
        <w:keepLines w:val="false"/>
        <w:pageBreakBefore w:val="false"/>
        <w:widowControl w:val="false"/>
        <w:kinsoku/>
        <w:wordWrap/>
        <w:overflowPunct/>
        <w:topLinePunct w:val="false"/>
        <w:autoSpaceDE/>
        <w:autoSpaceDN/>
        <w:bidi w:val="false"/>
        <w:adjustRightInd/>
        <w:snapToGrid/>
        <w:ind w:firstLine="640" w:firstLineChars="200"/>
        <w:textAlignment w:val="auto"/>
        <w:outlineLvl w:val="9"/>
        <w:rPr>
          <w:rFonts w:ascii="仿宋" w:cs="仿宋" w:eastAsia="仿宋" w:hAnsi="仿宋" w:hint="eastAsia"/>
          <w:sz w:val="32"/>
          <w:szCs w:val="32"/>
        </w:rPr>
      </w:pPr>
    </w:p>
    <w:sectPr>
      <w:footerReference w:type="default" r:id="rId2"/>
      <w:pgSz w:w="11906" w:h="16838" w:orient="portrait"/>
      <w:pgMar w:top="1701" w:right="1587" w:bottom="1417" w:left="1587" w:header="851" w:footer="992" w:gutter="0"/>
      <w:cols w:space="0" w:num="1"/>
      <w:rtlGutter w:val="false"/>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20007A87" w:usb1="80000000" w:usb2="00000008" w:usb3="00000000" w:csb0="000001FF" w:csb1="00000000"/>
  </w:font>
  <w:font w:name="宋体">
    <w:altName w:val="宋体"/>
    <w:panose1 w:val="02010600030001010101"/>
    <w:charset w:val="86"/>
    <w:family w:val="auto"/>
    <w:pitch w:val="default"/>
    <w:sig w:usb0="000000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2020204"/>
    <w:charset w:val="01"/>
    <w:family w:val="swiss"/>
    <w:pitch w:val="default"/>
    <w:sig w:usb0="E0002AFF" w:usb1="C0007843" w:usb2="00000009" w:usb3="00000000" w:csb0="400001FF" w:csb1="FFFF0000"/>
  </w:font>
  <w:font w:name="黑体">
    <w:altName w:val="黑体"/>
    <w:panose1 w:val="02010609060001010101"/>
    <w:charset w:val="86"/>
    <w:family w:val="auto"/>
    <w:pitch w:val="default"/>
    <w:sig w:usb0="800002BF" w:usb1="38CF7CFA" w:usb2="00000016" w:usb3="00000000" w:csb0="00040001" w:csb1="00000000"/>
  </w:font>
  <w:font w:name="Courier New">
    <w:altName w:val="Courier New"/>
    <w:panose1 w:val="02070309020002020404"/>
    <w:charset w:val="01"/>
    <w:family w:val="modern"/>
    <w:pitch w:val="default"/>
    <w:sig w:usb0="E0002AFF" w:usb1="C0007843" w:usb2="00000009" w:usb3="00000000" w:csb0="400001FF" w:csb1="FFFF0000"/>
  </w:font>
  <w:font w:name="Symbol">
    <w:altName w:val="Symbol"/>
    <w:panose1 w:val="05050102010007020507"/>
    <w:charset w:val="02"/>
    <w:family w:val="roman"/>
    <w:pitch w:val="default"/>
    <w:sig w:usb0="00000000" w:usb1="00000000" w:usb2="00000000" w:usb3="00000000" w:csb0="80000000" w:csb1="00000000"/>
  </w:font>
  <w:font w:name="Calibri">
    <w:altName w:val="Calibri"/>
    <w:panose1 w:val="020f0502020002030204"/>
    <w:charset w:val="00"/>
    <w:family w:val="swiss"/>
    <w:pitch w:val="default"/>
    <w:sig w:usb0="E10002FF" w:usb1="4000ACFF" w:usb2="00000009" w:usb3="00000000" w:csb0="2000019F" w:csb1="00000000"/>
  </w:font>
  <w:font w:name="方正小标宋简体">
    <w:altName w:val="方正小标宋简体"/>
    <w:panose1 w:val="03000509000000000000"/>
    <w:charset w:val="86"/>
    <w:family w:val="auto"/>
    <w:pitch w:val="default"/>
    <w:sig w:usb0="00000001" w:usb1="080E0000" w:usb2="00000000" w:usb3="00000000" w:csb0="00040000" w:csb1="00000000"/>
  </w:font>
  <w:font w:name="仿宋">
    <w:altName w:val="仿宋"/>
    <w:panose1 w:val="02010609060001010101"/>
    <w:charset w:val="86"/>
    <w:family w:val="auto"/>
    <w:pitch w:val="default"/>
    <w:sig w:usb0="800002BF" w:usb1="38CF7CFA" w:usb2="00000016" w:usb3="00000000" w:csb0="00040001" w:csb1="00000000"/>
  </w:font>
</w:fonts>
</file>

<file path=word/footer1.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2"/>
      <w:jc w:val="center"/>
      <w:rPr/>
    </w:pPr>
    <w:r>
      <w:rPr/>
      <w:fldChar w:fldCharType="begin"/>
    </w:r>
    <w:r>
      <w:instrText xml:space="preserve"> PAGE   \* MERGEFORMAT </w:instrText>
    </w:r>
    <w:r>
      <w:rPr/>
      <w:fldChar w:fldCharType="separate"/>
    </w:r>
    <w:r>
      <w:rPr>
        <w:lang w:val="zh-CN"/>
      </w:rPr>
      <w:t>1</w:t>
    </w:r>
    <w:r>
      <w:rPr>
        <w:lang w:val="zh-CN"/>
      </w:rPr>
      <w:fldChar w:fldCharType="end"/>
    </w:r>
  </w:p>
  <w:p>
    <w:pPr>
      <w:pStyle w:val="style3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宋体" w:hAnsi="Calibri"/>
      </w:rPr>
    </w:rPrDefault>
    <w:pPrDefault>
      <w:pPr/>
    </w:pPrDefault>
  </w:docDefaults>
  <w:style w:type="paragraph" w:default="1" w:styleId="style0">
    <w:name w:val="Normal"/>
    <w:next w:val="style0"/>
    <w:qFormat/>
    <w:uiPriority w:val="0"/>
    <w:pPr>
      <w:widowControl w:val="false"/>
      <w:jc w:val="both"/>
    </w:pPr>
    <w:rPr>
      <w:rFonts w:ascii="Calibri" w:cs="宋体" w:eastAsia="宋体" w:hAnsi="Calibri"/>
      <w:kern w:val="2"/>
      <w:sz w:val="21"/>
      <w:szCs w:val="22"/>
      <w:lang w:val="en-US" w:bidi="ar-SA" w:eastAsia="zh-CN"/>
    </w:rPr>
  </w:style>
  <w:style w:type="character" w:default="1" w:styleId="style65">
    <w:name w:val="Default Paragraph Font"/>
    <w:next w:val="style65"/>
    <w:qFormat/>
    <w:uiPriority w:val="1"/>
  </w:style>
  <w:style w:type="table" w:default="1" w:styleId="style105">
    <w:name w:val="Normal Table"/>
    <w:next w:val="style105"/>
    <w:qFormat/>
    <w:uiPriority w:val="99"/>
    <w:pPr/>
    <w:rPr/>
    <w:tblPr>
      <w:tblLayout w:type="fixed"/>
      <w:tblCellMar>
        <w:top w:w="0" w:type="dxa"/>
        <w:left w:w="108" w:type="dxa"/>
        <w:bottom w:w="0" w:type="dxa"/>
        <w:right w:w="108" w:type="dxa"/>
      </w:tblCellMar>
    </w:tblPr>
    <w:tcPr>
      <w:tcBorders/>
    </w:tcPr>
  </w:style>
  <w:style w:type="paragraph" w:styleId="style153">
    <w:name w:val="Balloon Text"/>
    <w:basedOn w:val="style0"/>
    <w:next w:val="style153"/>
    <w:link w:val="style4099"/>
    <w:qFormat/>
    <w:uiPriority w:val="99"/>
    <w:pPr/>
    <w:rPr>
      <w:sz w:val="18"/>
      <w:szCs w:val="18"/>
    </w:rPr>
  </w:style>
  <w:style w:type="paragraph" w:styleId="style32">
    <w:name w:val="footer"/>
    <w:basedOn w:val="style0"/>
    <w:next w:val="style32"/>
    <w:link w:val="style4098"/>
    <w:qFormat/>
    <w:uiPriority w:val="99"/>
    <w:pPr>
      <w:tabs>
        <w:tab w:val="center" w:leader="none" w:pos="4153"/>
        <w:tab w:val="right" w:leader="none" w:pos="8306"/>
      </w:tabs>
      <w:snapToGrid w:val="false"/>
      <w:jc w:val="left"/>
    </w:pPr>
    <w:rPr>
      <w:sz w:val="18"/>
      <w:szCs w:val="18"/>
    </w:rPr>
  </w:style>
  <w:style w:type="paragraph" w:styleId="style31">
    <w:name w:val="header"/>
    <w:basedOn w:val="style0"/>
    <w:next w:val="style31"/>
    <w:link w:val="style4097"/>
    <w:qFormat/>
    <w:uiPriority w:val="99"/>
    <w:pPr>
      <w:pBdr>
        <w:bottom w:val="single" w:sz="6" w:space="1" w:color="auto"/>
      </w:pBdr>
      <w:tabs>
        <w:tab w:val="center" w:leader="none" w:pos="4153"/>
        <w:tab w:val="right" w:leader="none" w:pos="8306"/>
      </w:tabs>
      <w:snapToGrid w:val="false"/>
      <w:jc w:val="center"/>
    </w:pPr>
    <w:rPr>
      <w:sz w:val="18"/>
      <w:szCs w:val="18"/>
    </w:rPr>
  </w:style>
  <w:style w:type="character" w:customStyle="1" w:styleId="style4097">
    <w:name w:val="页眉 Char"/>
    <w:basedOn w:val="style65"/>
    <w:next w:val="style4097"/>
    <w:link w:val="style31"/>
    <w:qFormat/>
    <w:uiPriority w:val="99"/>
    <w:rPr>
      <w:sz w:val="18"/>
      <w:szCs w:val="18"/>
    </w:rPr>
  </w:style>
  <w:style w:type="character" w:customStyle="1" w:styleId="style4098">
    <w:name w:val="页脚 Char"/>
    <w:basedOn w:val="style65"/>
    <w:next w:val="style4098"/>
    <w:link w:val="style32"/>
    <w:qFormat/>
    <w:uiPriority w:val="99"/>
    <w:rPr>
      <w:sz w:val="18"/>
      <w:szCs w:val="18"/>
    </w:rPr>
  </w:style>
  <w:style w:type="paragraph" w:styleId="style179">
    <w:name w:val="List Paragraph"/>
    <w:basedOn w:val="style0"/>
    <w:next w:val="style179"/>
    <w:qFormat/>
    <w:uiPriority w:val="34"/>
    <w:pPr>
      <w:ind w:firstLine="420" w:firstLineChars="200"/>
    </w:pPr>
    <w:rPr/>
  </w:style>
  <w:style w:type="character" w:customStyle="1" w:styleId="style4099">
    <w:name w:val="批注框文本 Char"/>
    <w:basedOn w:val="style65"/>
    <w:next w:val="style4099"/>
    <w:link w:val="style153"/>
    <w:qFormat/>
    <w:uiPriority w:val="99"/>
    <w:rPr>
      <w:kern w:val="2"/>
      <w:sz w:val="18"/>
      <w:szCs w:val="18"/>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Relationship Id="rId8"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_rels/item2.xml.rels><?xml version="1.0" encoding="UTF-8"?>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64C581E-6A85-4711-80DE-AA51A3242BEE}">
  <ds:schemaRefs/>
</ds:datastoreItem>
</file>

<file path=docProps/app.xml><?xml version="1.0" encoding="utf-8"?>
<Properties xmlns="http://schemas.openxmlformats.org/officeDocument/2006/extended-properties" xmlns:vt="http://schemas.openxmlformats.org/officeDocument/2006/docPropsVTypes">
  <Template>Normal</Template>
  <TotalTime>19</TotalTime>
  <Words>1825</Words>
  <Pages>5</Pages>
  <Characters>1870</Characters>
  <Application>WPS Office</Application>
  <DocSecurity>0</DocSecurity>
  <Paragraphs>35</Paragraphs>
  <ScaleCrop>false</ScaleCrop>
  <LinksUpToDate>false</LinksUpToDate>
  <CharactersWithSpaces>1872</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2018-06-11T02:08:00Z</dcterms:created>
  <dc:creator>user</dc:creator>
  <lastModifiedBy>EML-AL00</lastModifiedBy>
  <lastPrinted>2018-09-21T02:50:00Z</lastPrinted>
  <dcterms:modified xsi:type="dcterms:W3CDTF">2018-09-21T08:50:15Z</dcterms:modified>
  <revision>103</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